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241" w:rsidRPr="000A57BA" w:rsidRDefault="00140241" w:rsidP="000A57BA">
      <w:pPr>
        <w:widowControl/>
        <w:shd w:val="clear" w:color="auto" w:fill="FFFFFF"/>
        <w:spacing w:line="600" w:lineRule="exact"/>
        <w:jc w:val="center"/>
        <w:outlineLvl w:val="0"/>
        <w:rPr>
          <w:rFonts w:ascii="方正小标宋简体" w:eastAsia="方正小标宋简体" w:hAnsi="微软雅黑" w:cs="宋体" w:hint="eastAsia"/>
          <w:kern w:val="36"/>
          <w:sz w:val="44"/>
          <w:szCs w:val="44"/>
        </w:rPr>
      </w:pPr>
      <w:r w:rsidRPr="000A57BA">
        <w:rPr>
          <w:rFonts w:ascii="方正小标宋简体" w:eastAsia="方正小标宋简体" w:hAnsi="微软雅黑" w:cs="宋体" w:hint="eastAsia"/>
          <w:kern w:val="36"/>
          <w:sz w:val="44"/>
          <w:szCs w:val="44"/>
        </w:rPr>
        <w:t>中共中央、国务院印发</w:t>
      </w:r>
    </w:p>
    <w:p w:rsidR="00491AB8" w:rsidRPr="000A57BA" w:rsidRDefault="00491AB8" w:rsidP="000A57BA">
      <w:pPr>
        <w:widowControl/>
        <w:shd w:val="clear" w:color="auto" w:fill="FFFFFF"/>
        <w:spacing w:line="600" w:lineRule="exact"/>
        <w:jc w:val="center"/>
        <w:outlineLvl w:val="0"/>
        <w:rPr>
          <w:rFonts w:ascii="方正小标宋简体" w:eastAsia="方正小标宋简体" w:hAnsi="微软雅黑" w:cs="宋体"/>
          <w:bCs/>
          <w:color w:val="333333"/>
          <w:kern w:val="36"/>
          <w:sz w:val="44"/>
          <w:szCs w:val="44"/>
        </w:rPr>
      </w:pPr>
      <w:r w:rsidRPr="000A57BA">
        <w:rPr>
          <w:rFonts w:ascii="方正小标宋简体" w:eastAsia="方正小标宋简体" w:hAnsi="微软雅黑" w:cs="宋体" w:hint="eastAsia"/>
          <w:bCs/>
          <w:color w:val="333333"/>
          <w:kern w:val="36"/>
          <w:sz w:val="44"/>
          <w:szCs w:val="44"/>
        </w:rPr>
        <w:t>党政机关厉行节约反对浪费条例</w:t>
      </w:r>
    </w:p>
    <w:p w:rsidR="000310CE" w:rsidRDefault="006F78CB" w:rsidP="006F78CB">
      <w:pPr>
        <w:jc w:val="center"/>
      </w:pPr>
      <w:r>
        <w:rPr>
          <w:rStyle w:val="a6"/>
          <w:rFonts w:hint="eastAsia"/>
          <w:color w:val="000000"/>
          <w:sz w:val="27"/>
          <w:szCs w:val="27"/>
          <w:shd w:val="clear" w:color="auto" w:fill="FFFFFF"/>
        </w:rPr>
        <w:t>新华社北京</w:t>
      </w:r>
      <w:r>
        <w:rPr>
          <w:rStyle w:val="a6"/>
          <w:rFonts w:hint="eastAsia"/>
          <w:color w:val="000000"/>
          <w:sz w:val="27"/>
          <w:szCs w:val="27"/>
          <w:shd w:val="clear" w:color="auto" w:fill="FFFFFF"/>
        </w:rPr>
        <w:t>2013</w:t>
      </w:r>
      <w:r>
        <w:rPr>
          <w:rStyle w:val="a6"/>
          <w:rFonts w:hint="eastAsia"/>
          <w:color w:val="000000"/>
          <w:sz w:val="27"/>
          <w:szCs w:val="27"/>
          <w:shd w:val="clear" w:color="auto" w:fill="FFFFFF"/>
        </w:rPr>
        <w:t>年</w:t>
      </w:r>
      <w:r>
        <w:rPr>
          <w:rStyle w:val="a6"/>
          <w:rFonts w:hint="eastAsia"/>
          <w:color w:val="000000"/>
          <w:sz w:val="27"/>
          <w:szCs w:val="27"/>
          <w:shd w:val="clear" w:color="auto" w:fill="FFFFFF"/>
        </w:rPr>
        <w:t>11</w:t>
      </w:r>
      <w:r>
        <w:rPr>
          <w:rStyle w:val="a6"/>
          <w:rFonts w:hint="eastAsia"/>
          <w:color w:val="000000"/>
          <w:sz w:val="27"/>
          <w:szCs w:val="27"/>
          <w:shd w:val="clear" w:color="auto" w:fill="FFFFFF"/>
        </w:rPr>
        <w:t>月</w:t>
      </w:r>
      <w:r>
        <w:rPr>
          <w:rStyle w:val="a6"/>
          <w:rFonts w:hint="eastAsia"/>
          <w:color w:val="000000"/>
          <w:sz w:val="27"/>
          <w:szCs w:val="27"/>
          <w:shd w:val="clear" w:color="auto" w:fill="FFFFFF"/>
        </w:rPr>
        <w:t>25</w:t>
      </w:r>
      <w:r>
        <w:rPr>
          <w:rStyle w:val="a6"/>
          <w:rFonts w:hint="eastAsia"/>
          <w:color w:val="000000"/>
          <w:sz w:val="27"/>
          <w:szCs w:val="27"/>
          <w:shd w:val="clear" w:color="auto" w:fill="FFFFFF"/>
        </w:rPr>
        <w:t>日电</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Style w:val="a6"/>
          <w:rFonts w:ascii="微软雅黑" w:eastAsia="微软雅黑" w:hAnsi="微软雅黑" w:hint="eastAsia"/>
          <w:color w:val="333333"/>
          <w:sz w:val="30"/>
          <w:szCs w:val="30"/>
        </w:rPr>
        <w:t>第一章　总 则</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第一条　为了进一步弘扬艰苦奋斗、勤俭节约的优良作风，推进党政机关厉行节约反对浪费，建设节约型机关，根据国家有关法律法规和中央有关规定，制定本条例。</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第二条　本条例适用于党的机关、人大机关、行政机关、政协机关、审判机关、检察机关，以及工会、共青团、妇联等人民团体和参照公务员法管理的事业单位。</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第三条　本条例所称浪费，是指党政机关及其工作人员违反规定进行不必要的公务活动，或者在履行公务中超出规定范围、标准和要求，不当使用公共资金、资产和资源，给国家和社会造成损失的行为。</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第四条　党政机关厉行节约反对浪费，应当遵循下列原则：坚持从严从简，勤俭办一切事业，降低公务活动成本；坚持依法依规，遵守国家法律法规和党内法规制度的相关规定，严格按程</w:t>
      </w:r>
      <w:r>
        <w:rPr>
          <w:rFonts w:ascii="微软雅黑" w:eastAsia="微软雅黑" w:hAnsi="微软雅黑" w:hint="eastAsia"/>
          <w:color w:val="333333"/>
          <w:sz w:val="30"/>
          <w:szCs w:val="30"/>
        </w:rPr>
        <w:lastRenderedPageBreak/>
        <w:t>序办事；坚持总量控制，科学设定相关标准，严格控制经费支出总额，加强厉行节约绩效考评；坚持实事求是，从实际出发安排公务活动，取消不必要的公务活动，保证正常公务活动；坚持公开透明，除涉及国家秘密事项外，公务活动中的资金、资产、资源使用等情况应予公开，接受各方面监督；坚持深化改革，通过改革创新破解体制机制障碍，建立健全厉行节约反对浪费工作长效机制。</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第五条　中共中央办公厅、国务院办公厅负责统筹协调、指导检查全国党政机关厉行节约反对浪费工作，建立协调联络机制承办具体事务。地方各级党委办公厅（室）、政府办公厅（室）负责指导检查本地区党政机关厉行节约反对浪费工作。</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纪检监察机关和组织人事、宣传、外事、发展改革、财政、审计、机关事务管理等部门根据职责分工，依法依规履行对厉行节约反对浪费相关工作的管理、监督等职责。</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w:t>
      </w:r>
      <w:r>
        <w:rPr>
          <w:rStyle w:val="a6"/>
          <w:rFonts w:ascii="微软雅黑" w:eastAsia="微软雅黑" w:hAnsi="微软雅黑" w:hint="eastAsia"/>
          <w:color w:val="333333"/>
          <w:sz w:val="30"/>
          <w:szCs w:val="30"/>
        </w:rPr>
        <w:t>第二章　经费管理</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第七条　党政机关应当加强预算编制管理，按照综合预算的要求，将各项收入和支出全部纳入部门预算。</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党政机关依法取得的罚没收入、行政事业性收费、政府性基金、国有资产收益和处置等非税收入，必须按规定及时足额上缴国库，严禁以任何形式隐瞒、截留、挤占、挪用、坐支或者私分，严禁转移到机关所属工会、培训中心、服务中心等单位账户使用。</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第八条　党政机关应当遵循先有预算、后有支出的原则，严格执行预算，严禁超预算或者无预算安排支出，严禁虚列支出、转移或者套取预算资金。</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严格控制国内差旅费、因公临时出国（境）费、公务接待费、公务用车购置及运行费、会议费、培训费等支出。年度预算执行中不予追加，因特殊需要确需追加的，由财政部门审核后按程序报批。</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建立预算执行全过程动态监控机制，完善预算执行管理办法，建立健全预算绩效管理体系，增强预算执行的严肃性，提高预算执行的准确率，防止年底突击花钱等现象发生。</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第九条　推进政府会计改革，进一步健全会计制度，准确核算机关运行经费，全面反映行政成本。</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第十条　财政部门应当会同有关部门，根据国内差旅、因公临时出国（境）、公务接待、会议、培训等工作特点，综合考虑经济发展水平、有关货物和服务的市场价格水平，制定分地区的公务活动经费开支范围和开支标准。</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加强相关开支标准之间的衔接，建立开支标准调整机制，定期根据有关货物和服务的市场价格变动情况调整相关开支标准，增强开支标准的协调性、规范性、科学性。</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严格开支范围和标准，严格支出报销审核，不得报销任何超范围、超标准以及与相关公务活动无关的费用。</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第十一条　全面实行公务卡制度。健全公务卡强制结算目录，党政机关国内发生的公务差旅费、公务接待费、公务用车购置及运行费、会议费、培训费等经费支出，除按规定实行财政直接支付或者银行转账外，应当使用公务卡结算。</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第十二条　党政机关采购货物、工程和服务，应当遵循公开透明、公平竞争、诚实信用原则。</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政府采购应当依法完整编制采购预算，严格执行经费预算和资产配置标准，合理确定采购需求，不得超标准采购，不得超出办公需要采购服务。</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严格执行政府采购程序，不得违反规定以任何方式和理由指定或者变相指定品牌、型号、产地。采购公开招标数额标准以上的货物、工程和服务，应当进行公开招标，确需改变采购方式的，应当严格执行有关公示和审批程序。列入政府集中采购目录范围的，应当委托集中采购机构代理采购，并逐步实行批量集中采购。严格控制协议供货采购的数量和规模，不得以协议供货拆分项目的方式规避公开招标。</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党政机关应当按照政府采购合同规定的采购需求组织验收。政府采购监督管理部门应当逐步建立政府采购结果评价制度，对政府采购的资金节约、政策效能、透明程度以及专业化水平进行综合、客观评价。</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加快政府采购管理交易平台建设，推进电子化政府采购。</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第三章　国内差旅和因公临时出国（境）</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第十三条　党政机关应当建立健全并严格执行国内差旅内部审批制度，从严控制国内差旅人数和天数，严禁无明确公务目的的差旅活动，严禁以公务差旅为名变相旅游，严禁异地部门间无实质内容的学习交流和考察调研。</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第十四条　国内差旅人员应当严格按规定乘坐交通工具、住宿、就餐，费用由所在单位承担。</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差旅人员住宿、就餐由接待单位协助安排的，必须按标准交纳住宿费、餐费。差旅人员不得向接待单位提出正常公务活动以外的要求，不得接受礼金、礼品和土特产品等。</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第十五条　统筹安排年度因公临时出国计划，严格控制团组数量和规模，不得安排照顾性、无实质内容的一般性出访，不得安排考察性出访，严禁集中安排赴热门国家和地区出访，严禁以各种名义变相公款出国旅游。严格执行因公临时出国限量管理规定，不得把出国作为个人待遇、安排轮流出国。严格控制跨地区、跨部门团组。</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组织、外专等有关部门应当加强出国培训总体规划和监督管理，严格控制出国培训规模，科学设置培训项目，择优选派培训对象，提高出国培训的质量和实效。</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第十六条　外事管理部门应当加强因公临时出国审核审批管理，对违反规定、不适合成行的团组予以调整或者取消。</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加强因公临时出国经费预算总额控制，严格执行经费先行审核制度。无出国经费预算安排的不予批准，确有特殊需要的，按规定程序报批。严禁违反规定使用出国经费预算以外资金作为出国经费，严禁向所属单位、企业、我国驻外机构等摊派或者转嫁出国费用。</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第十七条　出国团组应当按规定标准安排交通工具和食宿，不得违反规定乘坐民航包机，不得乘坐私人、企业和外国航空公司包机，不得安排超标准住房和用车，不得擅自增加出访国家或者地区，不得擅自绕道旅行，不得擅自延长在国外停留时间。</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出国期间，不得与我国驻外机构和其他中资机构、企业之间用公款互赠礼品或者纪念品，不得用公款相互宴请。</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第十八条　严格根据工作需要编制出境计划，加强因公出境审批和管理，不得安排出境考察，不得组织无实质内容的调研、会议、培训等活动。</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严格遵守因公出境经费预算、支出、使用、核算等财务制度，不得接受超标准接待和高消费娱乐，不得接受礼金、贵重礼品、有价证券、支付凭证等。</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第四章　公务接待</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第十九条　建立健全国内公务接待集中管理制度。党政机关公务接待管理部门应当加强对国内公务接待工作的管理和指导。</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第二十条　党政机关应当建立公务接待审批控制制度，对无公函的公务活动不予接待，严禁将非公务活动纳入接待范围。</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第二十一条　党政机关应当严格执行国内公务接待标准，实行接待费支出总额控制制度。</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接待单位应当严格按标准安排接待对象的住宿用房，协助安排用餐的按标准收取餐费，不得在接待费中列支应当由接待对象</w:t>
      </w:r>
      <w:r>
        <w:rPr>
          <w:rFonts w:ascii="微软雅黑" w:eastAsia="微软雅黑" w:hAnsi="微软雅黑" w:hint="eastAsia"/>
          <w:color w:val="333333"/>
          <w:sz w:val="30"/>
          <w:szCs w:val="30"/>
        </w:rPr>
        <w:lastRenderedPageBreak/>
        <w:t>承担的费用，不得以举办会议、培训等名义列支、转移、隐匿接待费开支。</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建立国内公务接待清单制度，如实反映接待对象、公务活动、接待费用等情况。接待清单作为财务报销的凭证之一并接受审计。</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第二十二条　外宾接待工作应当遵循服务外交、友好对等、务实节俭的原则。外宾邀请单位应当严格按照有关规定安排接待活动，从严从紧控制外宾团组和接待费用。</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第二十三条　有关部门和地方应当参照国内公务接待标准，制定招商引资等活动的接待办法，严格审批，强化管理，严禁超规格、超标准接待，严禁扩大接待范围、增加接待项目，严禁以招商引资等名义变相安排公务接待。</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第二十四条　党政机关不得以任何名义新建、改建、扩建所属宾馆、招待所等具有接待功能的设施或者场所。</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建立接待资源共享机制，推进机关所属接待、培训场所的集中统一管理和利用。健全服务经营机制，推行机关所属接待、培训场所企业化管理，降低服务经营成本。</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积极推进国内公务接待服务社会化改革，有效利用社会资源为国内公务接待提供住宿、餐饮、用车等服务。</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第五章　公务用车</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第二十五条　坚持社会化、市场化方向，改革公务用车制度，合理有效配置公务用车资源，创新公务交通分类提供方式，保障公务出行，降低行政成本，建立符合国情的新型公务用车制度。</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改革公务用车实物配给方式，取消一般公务用车，保留必要的执法执勤、机要通信、应急和特种专业技术用车及按规定配备的其他车辆。普通公务出行由公务人员自主选择，实行社会化提供。取消的一般公务用车，采取公开招标、拍卖等方式公开处置。</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适度发放公务交通补贴，不得以车改补贴的名义变相发放福利。</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第二十六条　党政机关应当从严配备实行定向化保障的公务用车，不得以特殊用途等理由变相超编制、超标准配备公务用车，不得以任何方式换用、借用、占用下属单位或者其他单位和个人的车辆，不得接受企事业单位和个人赠送的车辆。</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严格按规定配备专车，不得擅自扩大专车配备范围或者变相配备专车。</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从严控制执法执勤用车的配备范围、编制和标准。执法执勤用车配备应当严格限制在一线执法执勤岗位，机关内部管理和后勤岗位以及机关所属事业单位一律不得配备。</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第二十七条　公务用车实行政府集中采购，应当选用国产汽车，优先选用新能源汽车。</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公务用车严格按照规定年限更新，已到更新年限尚能继续使用的应当继续使用，不得因领导干部职务晋升、调任等原因提前更新。</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公务用车保险、维修、加油等实行政府采购，降低运行成本。</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第二十八条　除涉及国家安全、侦查办案等有保密要求的特殊工作用车外，执法执勤用车应当喷涂明显的统一标识。</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第二十九条　根据公务活动需要，严格按规定使用公务用车，严禁以任何理由挪用或者固定给个人使用执法执勤、机要通信等</w:t>
      </w:r>
      <w:r>
        <w:rPr>
          <w:rFonts w:ascii="微软雅黑" w:eastAsia="微软雅黑" w:hAnsi="微软雅黑" w:hint="eastAsia"/>
          <w:color w:val="333333"/>
          <w:sz w:val="30"/>
          <w:szCs w:val="30"/>
        </w:rPr>
        <w:lastRenderedPageBreak/>
        <w:t>公务用车，领导干部亲属和身边工作人员不得因私使用配备给领导干部的公务用车。</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第六章　会议活动</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第三十条　党政机关应当精简会议，严格执行会议费开支范围和标准。</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党政机关会议实行分类管理、分级审批。财政部门应当会同机关事务管理等部门制定本级党政机关会议费管理办法，从严控制会议数量、会期和参会人员规模。完善并严格执行严禁党政机关到风景名胜区开会制度规定。</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第三十一条　会议召开场所实行政府采购定点管理。会议住宿用房以标准间为主，用餐安排自助餐或者工作餐。</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会议期间，不得安排宴请，不得组织旅游以及与会议无关的参观活动，不得以任何名义发放纪念品。</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完善会议费报销制度。未经批准以及超范围、超标准开支的会议费用，一律不予报销。严禁违规使用会议费购置办公设备，</w:t>
      </w:r>
      <w:r>
        <w:rPr>
          <w:rFonts w:ascii="微软雅黑" w:eastAsia="微软雅黑" w:hAnsi="微软雅黑" w:hint="eastAsia"/>
          <w:color w:val="333333"/>
          <w:sz w:val="30"/>
          <w:szCs w:val="30"/>
        </w:rPr>
        <w:lastRenderedPageBreak/>
        <w:t>严禁列支公务接待费等与会议无关的任何费用，严禁套取会议资金。</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第三十二条　建立健全培训审批制度，严格控制培训数量、时间、规模，严禁以培训名义召开会议。</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严格执行分类培训经费开支标准，严格控制培训经费支出范围，严禁在培训经费中列支公务接待费、会议费等与培训无关的任何费用。严禁以培训名义进行公款宴请、公款旅游活动。</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第三十三条　未经批准，党政机关不得以公祭、历史文化、特色物产、单位成立、行政区划变更、工程奠基或者竣工等名义举办或者委托、指派其他单位举办各类节会、庆典活动，不得举办论坛、博览会、展会活动。严禁使用财政性资金举办营业性文艺晚会。从严控制举办大型综合性运动会和各类赛会。</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经批准的节会、庆典、论坛、博览会、展会、运动会、赛会等活动，应当严格控制规模和经费支出，不得向下属单位摊派费用，不得借举办活动发放各类纪念品，不得超出规定标准支付费用邀请名人、明星参与活动。为举办活动专门配备的设备在活动结束后应当及时收回。</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第三十四条　严格控制和规范各类评比达标表彰活动，实行中央和省（自治区、直辖市）两级审批制度。评比达标表彰项目费用由举办单位承担，不得以任何方式向相关单位和个人收取费用。</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第七章　办公用房</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第三十五条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党政机关办公用房应当严格管理，推进办公用房资源的公平配置和集约使用。凡是超过规定面积标准占有、使用办公用房以及未经批准租用办公用房的，必须腾退；凡是未经批准改变办公用房使用功能的，原则上应当恢复原使用功能。严禁出租出借办公用房，已经出租出借的，到期必须收回；租赁合同未到期的，租金收入应当按照收支两条线管理。</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第三十六条　党政机关新建、改建、扩建、购置、置换、维修改造、租赁办公用房，必须严格按规定履行审批程序。采取置换方式配给办公用房的，应当执行新建办公用房各项标准，不得以未使用政府预算建设资金、资产整合等名义规避审批。</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第三十七条　党政机关办公用房建设项目应当按照朴素、实用、安全、节能原则，严格执行办公用房建设标准、单位综合造价标准和公共建筑节能设计标准，符合土地利用和城市规划要求。党政机关办公楼不得追求成为城市地标建筑，严禁配套建设大型广场、公园等设施。</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第三十八条　党政机关办公用房建设项目投资，统一由政府预算建设资金安排。土地收益和资产转让收益应当按照有关规定实行收支两条线管理，不得直接用于办公用房建设。</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党政机关办公用房维修改造项目所需投资，统一列入预算由财政资金安排解决，未经审批的项目不得安排预算。</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第三十九条　办公用房建设应当严格执行工程招投标和政府采购有关规定，加强对工程项目的全过程监理和审计监督。加快推行办公用房建设项目代建制。</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办公用房因使用时间较长、设施设备老化、功能不全，不能满足办公需求的，可以进行维修改造。维修改造项目应当以消除安全隐患、恢复和完善使用功能、降低能源资源消耗为重点，严格履行审批程序，严格执行维修改造标准。</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第四十条　建立健全办公用房集中统一管理制度，对办公用房实行统一调配、统一权属登记。</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党政机关应当严格按照有关标准和本单位“三定”方案，从严核定、使用办公用房。超标部分应当移交同级机关事务管理部门用于统一调剂。</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新建、调整办公用房的单位，应当按照“建新交旧”、“调新交旧”的原则，在搬入新建或者新调整办公用房的同时，将原办公用房腾退移交机关事务管理部门统一调剂使用。</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因机构增设、职能调整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第四十一条　党政机关领导干部应当按照标准配置使用一处办公用房，确因工作需要另行配置办公用房的，应当严格履行审批程序。领导干部不得长期租用宾馆、酒店房间作为办公用房。配置使用的办公用房，在退休或者调离时应当及时腾退并由原单位收回。</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第八章　资源节约</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第四十二条　党政机关应当节约集约利用资源，加强全过程节约管理，提高能源、水、粮食、办公家具、办公设备、办公用品等的利用效率和效益，统筹利用土地，杜绝浪费行为。</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第四十三条　对能源、水的使用实行分类定额和目标责任管理。推广应用节能技术产品，淘汰高耗能设施设备，重点推广应用新能源和可再生能源。积极使用节水型器具，建设节水型单位。</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健全节能产品政府采购政策，严格执行节能产品政府强制采购和优先采购制度。</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第四十四条　优化办公家具、办公设备等资产的配置和使用，通过调剂方式盘活存量资产，节约购置资金。已到更新年限尚能继续使用的，不得报废处置。</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对产生的非涉密废纸、废弃电器电子产品等废旧物品进行集中回收处理，促进循环利用；涉及国家秘密的，按照有关保密规定进行销毁。</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第四十五条　党政机关政务信息系统建设应当统筹规划，统一组织实施，防止重复建设和频繁升级。</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建立共享共用机制，加强资源整合，推动重要政务信息系统互联互通、信息共享和业务协同，降低软件开发、系统维护和升级等方面费用，防止资源浪费。</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积极利用信息化手段，推行无纸化办公，减少一次性办公用品消耗。</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第九章　宣传教育</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第四十六条　宣传部门应当把厉行节约反对浪费作为重要宣传内容，充分发挥各级各类媒体作用，重视运用互联网等新兴媒体，通过新闻报道、文化作品、公益广告等形式，广泛宣传中华民族勤俭节约的优秀品德，宣传阐释相关制度规定，宣传推广厉行节约的经验做法和先进典型，倡导绿色低碳消费理念和健康文明生活方式。</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第四十七条　党政机关应当把加强厉行节约反对浪费教育作为作风建设的重要内容，融入干部队伍建设和机关日常管理之中，建立健全常态化工作机制。对各种铺张浪费现象和行为，应当严肃批评、督促改正。</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纪检监察机关应当不定期曝光铺张浪费的典型案例，发挥警示教育作用。</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组织人事部门和党校、行政学院、干部学院应当把厉行节约反对浪费作为干部教育培训的重要内容，创新教育方法，切实增强教育培训的针对性和实效性。</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第四十八条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第十章　监督检查</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第四十九条　各级党委和政府应当建立厉行节约反对浪费监督检查机制，明确监督检查的主体、职责、内容、方法、程序</w:t>
      </w:r>
      <w:r>
        <w:rPr>
          <w:rFonts w:ascii="微软雅黑" w:eastAsia="微软雅黑" w:hAnsi="微软雅黑" w:hint="eastAsia"/>
          <w:color w:val="333333"/>
          <w:sz w:val="30"/>
          <w:szCs w:val="30"/>
        </w:rPr>
        <w:lastRenderedPageBreak/>
        <w:t>等，加强经常性督促检查，针对突出问题开展重点检查、暗访等专项活动。</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下级党委和政府应当每年向上级党委和政府报告本地区厉行节约反对浪费工作情况，党委和政府所属部门、单位应当每年向本级党委和政府报告本部门、本单位厉行节约反对浪费工作情况。报告可结合领导班子年度考核和工作报告一并进行。</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第五十条　领导干部厉行节约反对浪费工作情况，应当列为领导班子民主生活会和领导干部述职述廉的重要内容并接受评议。</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第五十一条　党委办公厅（室）、政府办公厅（室）负责统筹协调相关部门开展对厉行节约反对浪费工作的督促检查。每年至少组织开展一次专项督查，并将督查情况在适当范围内通报。专项督查可以与党风廉政建设责任制检查考核、年终党建工作考核等相结合，督查考核结果应当按照干部管理权限送纪检监察机关和组织人事部门，作为干部管理监督、选拔任用的依据。</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第五十二条　纪检监察机关应当加强对厉行节约反对浪费工作的监督检查，受理群众举报和有关部门移送的案件线索，及时查处违纪违法问题。</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中央和省、自治区、直辖市党委巡视组应当按照有关规定，加强对有关党组织领导班子及其成员厉行节约反对浪费工作情况的巡视监督。</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第五十三条　财政部门应当加强对党政机关预算编制、执行等财政、财务、政府采购和会计事项的监督检查，依法处理发现的违规问题，并及时向本级党委和政府汇报监督检查结果。</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审计部门应当加大对党政机关公务支出和公款消费的审计力度，依法处理、督促整改违规问题，并将涉嫌违纪违法问题移送有关部门查处。</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第五十四条　党政机关应当建立健全厉行节约反对浪费信息公开制度。除依照法律法规和有关要求须保密的内容和事项外，下列内容应当按照及时、方便、多样的原则，以适当方式进行公开：</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（一）预算和决算信息；</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（二）政府采购文件、采购预算、中标成交结果、采购合同等情况；</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（三）国内公务接待的批次、人数、经费总额等情况；</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（四）会议的名称、主要内容、支出金额等情况；</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（五）培训的项目、内容、人数、经费等情况；</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（六）节会、庆典、论坛、博览会、展会、运动会、赛会等活动举办信息；</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（七）办公用房建设、维修改造、使用、运行费用支出等情况；</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（八）公务支出和公款消费的审计结果；</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（九）其他需要公开的内容。</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第五十五条　推动和支持人民代表大会及其常务委员会依法严格审查批准党政机关公务支出预算，加强对预算执行情况的监督。发挥人大代表的监督作用，通过提出意见、建议、批评以及询问、质询等方式加强对党政机关厉行节约反对浪费工作的监督。</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支持人民政协对党政机关厉行节约反对浪费工作的监督，自觉接受并积极支持政协委员通过调研、视察、提案等方式加强对党政机关厉行节约反对浪费工作的监督。</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第五十六条　重视各级各类媒体在厉行节约反对浪费方面的舆论监督作用。建立舆情反馈机制，及时调查处理媒体曝光的违规违纪违法问题。</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发挥群众对党政机关及其工作人员铺张浪费行为的监督作用，认真调查处理群众反映的问题。</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第十一章　责任追究</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第五十七条　建立党政机关厉行节约反对浪费工作责任追究制度。</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对违反本条例规定造成浪费的，应当依纪依法追究相关人员的责任，对负有领导责任的主要负责人或者有关领导干部实行问责。</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第五十八条　有下列情形之一的，追究相关人员的责任：</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（一）未经审批列支财政性资金的；</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（二）采取弄虚作假等手段违规取得审批的；</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（三）违反审批要求擅自变通执行的；</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（四）违反管理规定超标准或者以虚假事项开支的；</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（五）利用职务便利假公济私的；</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（六）有其他违反审批、管理、监督规定行为的。</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第五十九条　有下列情形之一的，追究主要负责人或者有关领导干部的责任：</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（一）本地区、本部门、本单位铺张浪费、奢侈奢华问题严重，对发现的问题查处不力，干部群众反映强烈的；</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（二）指使、纵容下属单位或者人员违反本条例规定造成浪费的；</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（三）不履行内部审批、管理、监督职责造成浪费的；</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（四）不按规定及时公开本地区、本部门、本单位有关厉行节约反对浪费工作信息的；</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（五）其他对铺张浪费问题负有领导责任的。</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第六十条　违反本条例规定造成浪费的，根据情节轻重，由有关部门依照职责权限给予批评教育、责令作出检查、诫勉谈话、通报批评或者调离岗位、责令辞职、免职、降职等处理。</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应当追究党纪政纪责任的，依照《中国共产党纪律处分条例》、《行政机关公务员处分条例》等有关规定给予相应的党纪政纪处分。</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涉嫌违法犯罪的，依法追究法律责任。</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第六十一条　违反本条例规定获得的经济利益，应当予以收缴或者纠正。</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违反本条例规定，用公款支付、报销应由个人支付的费用，应当责令退赔。</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第六十二条　受到责任追究的人员对处理决定不服的，可以按照相关规定向有关机关提出申诉。受理申诉机关应当依据有关规定认真受理并作出结论。</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申诉期间，不停止处理决定的执行。</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w:t>
      </w:r>
      <w:r>
        <w:rPr>
          <w:rStyle w:val="a6"/>
          <w:rFonts w:ascii="微软雅黑" w:eastAsia="微软雅黑" w:hAnsi="微软雅黑" w:hint="eastAsia"/>
          <w:color w:val="333333"/>
          <w:sz w:val="30"/>
          <w:szCs w:val="30"/>
        </w:rPr>
        <w:t>第十二章　附则</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lastRenderedPageBreak/>
        <w:t xml:space="preserve">　　第六十三条　各省、自治区、直辖市党委和政府，中央和国家机关各部委，可以根据本条例，结合实际制定实施细则。有关职能部门应当根据各自职责，制定完善相关配套制度。</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国有企业、国有金融企业、不参照公务员法管理的事业单位，参照本条例执行。</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中国人民解放军和中国人民武装警察部队按照军队有关规定执行。</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第六十四条　本条例由中共中央办公厅、国务院办公厅会同有关部门负责解释。</w:t>
      </w:r>
    </w:p>
    <w:p w:rsidR="00741C4D" w:rsidRDefault="00741C4D" w:rsidP="00741C4D">
      <w:pPr>
        <w:pStyle w:val="a5"/>
        <w:shd w:val="clear" w:color="auto" w:fill="FFFFFF"/>
        <w:spacing w:before="335" w:beforeAutospacing="0" w:after="0" w:afterAutospacing="0" w:line="703" w:lineRule="atLeast"/>
        <w:rPr>
          <w:rFonts w:ascii="微软雅黑" w:eastAsia="微软雅黑" w:hAnsi="微软雅黑"/>
          <w:color w:val="333333"/>
          <w:sz w:val="30"/>
          <w:szCs w:val="30"/>
        </w:rPr>
      </w:pPr>
      <w:r>
        <w:rPr>
          <w:rFonts w:ascii="微软雅黑" w:eastAsia="微软雅黑" w:hAnsi="微软雅黑" w:hint="eastAsia"/>
          <w:color w:val="333333"/>
          <w:sz w:val="30"/>
          <w:szCs w:val="30"/>
        </w:rPr>
        <w:t xml:space="preserve">　　第六十五条　本条例自发布之日起施行。1997年5月25日发布的《中共中央、国务院关于党政机关厉行节约制止奢侈浪费行为的若干规定》同时废止。其他有关党政机关厉行节约反对浪费的规定，凡与本条例不一致的，按照本条例执行。</w:t>
      </w:r>
    </w:p>
    <w:p w:rsidR="00741C4D" w:rsidRPr="00741C4D" w:rsidRDefault="00741C4D"/>
    <w:sectPr w:rsidR="00741C4D" w:rsidRPr="00741C4D" w:rsidSect="000310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0B2" w:rsidRDefault="005160B2" w:rsidP="00491AB8">
      <w:r>
        <w:separator/>
      </w:r>
    </w:p>
  </w:endnote>
  <w:endnote w:type="continuationSeparator" w:id="1">
    <w:p w:rsidR="005160B2" w:rsidRDefault="005160B2" w:rsidP="00491A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0B2" w:rsidRDefault="005160B2" w:rsidP="00491AB8">
      <w:r>
        <w:separator/>
      </w:r>
    </w:p>
  </w:footnote>
  <w:footnote w:type="continuationSeparator" w:id="1">
    <w:p w:rsidR="005160B2" w:rsidRDefault="005160B2" w:rsidP="00491A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AB8"/>
    <w:rsid w:val="000310CE"/>
    <w:rsid w:val="000A57BA"/>
    <w:rsid w:val="00105B90"/>
    <w:rsid w:val="00140241"/>
    <w:rsid w:val="00491AB8"/>
    <w:rsid w:val="005160B2"/>
    <w:rsid w:val="006F78CB"/>
    <w:rsid w:val="00741C4D"/>
    <w:rsid w:val="00D06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0CE"/>
    <w:pPr>
      <w:widowControl w:val="0"/>
      <w:jc w:val="both"/>
    </w:pPr>
  </w:style>
  <w:style w:type="paragraph" w:styleId="1">
    <w:name w:val="heading 1"/>
    <w:basedOn w:val="a"/>
    <w:link w:val="1Char"/>
    <w:uiPriority w:val="9"/>
    <w:qFormat/>
    <w:rsid w:val="00491A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1A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1AB8"/>
    <w:rPr>
      <w:sz w:val="18"/>
      <w:szCs w:val="18"/>
    </w:rPr>
  </w:style>
  <w:style w:type="paragraph" w:styleId="a4">
    <w:name w:val="footer"/>
    <w:basedOn w:val="a"/>
    <w:link w:val="Char0"/>
    <w:uiPriority w:val="99"/>
    <w:semiHidden/>
    <w:unhideWhenUsed/>
    <w:rsid w:val="00491A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1AB8"/>
    <w:rPr>
      <w:sz w:val="18"/>
      <w:szCs w:val="18"/>
    </w:rPr>
  </w:style>
  <w:style w:type="character" w:customStyle="1" w:styleId="1Char">
    <w:name w:val="标题 1 Char"/>
    <w:basedOn w:val="a0"/>
    <w:link w:val="1"/>
    <w:uiPriority w:val="9"/>
    <w:rsid w:val="00491AB8"/>
    <w:rPr>
      <w:rFonts w:ascii="宋体" w:eastAsia="宋体" w:hAnsi="宋体" w:cs="宋体"/>
      <w:b/>
      <w:bCs/>
      <w:kern w:val="36"/>
      <w:sz w:val="48"/>
      <w:szCs w:val="48"/>
    </w:rPr>
  </w:style>
  <w:style w:type="paragraph" w:styleId="a5">
    <w:name w:val="Normal (Web)"/>
    <w:basedOn w:val="a"/>
    <w:uiPriority w:val="99"/>
    <w:semiHidden/>
    <w:unhideWhenUsed/>
    <w:rsid w:val="00741C4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41C4D"/>
    <w:rPr>
      <w:b/>
      <w:bCs/>
    </w:rPr>
  </w:style>
</w:styles>
</file>

<file path=word/webSettings.xml><?xml version="1.0" encoding="utf-8"?>
<w:webSettings xmlns:r="http://schemas.openxmlformats.org/officeDocument/2006/relationships" xmlns:w="http://schemas.openxmlformats.org/wordprocessingml/2006/main">
  <w:divs>
    <w:div w:id="720597622">
      <w:bodyDiv w:val="1"/>
      <w:marLeft w:val="0"/>
      <w:marRight w:val="0"/>
      <w:marTop w:val="0"/>
      <w:marBottom w:val="0"/>
      <w:divBdr>
        <w:top w:val="none" w:sz="0" w:space="0" w:color="auto"/>
        <w:left w:val="none" w:sz="0" w:space="0" w:color="auto"/>
        <w:bottom w:val="none" w:sz="0" w:space="0" w:color="auto"/>
        <w:right w:val="none" w:sz="0" w:space="0" w:color="auto"/>
      </w:divBdr>
    </w:div>
    <w:div w:id="187518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1474</Words>
  <Characters>8407</Characters>
  <Application>Microsoft Office Word</Application>
  <DocSecurity>0</DocSecurity>
  <Lines>70</Lines>
  <Paragraphs>19</Paragraphs>
  <ScaleCrop>false</ScaleCrop>
  <Company>MS</Company>
  <LinksUpToDate>false</LinksUpToDate>
  <CharactersWithSpaces>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林霖</dc:creator>
  <cp:keywords/>
  <dc:description/>
  <cp:lastModifiedBy>林霖</cp:lastModifiedBy>
  <cp:revision>9</cp:revision>
  <dcterms:created xsi:type="dcterms:W3CDTF">2017-05-23T12:35:00Z</dcterms:created>
  <dcterms:modified xsi:type="dcterms:W3CDTF">2017-05-23T12:41:00Z</dcterms:modified>
</cp:coreProperties>
</file>